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6" w:rsidRPr="00653006" w:rsidRDefault="00653006" w:rsidP="00653006">
      <w:pPr>
        <w:spacing w:after="0" w:line="475" w:lineRule="atLeast"/>
        <w:rPr>
          <w:rFonts w:ascii="Georgia" w:eastAsia="Times New Roman" w:hAnsi="Georgia" w:cs="Times New Roman"/>
          <w:b/>
          <w:bCs/>
          <w:caps/>
          <w:color w:val="35293A"/>
          <w:spacing w:val="14"/>
          <w:sz w:val="38"/>
          <w:szCs w:val="38"/>
          <w:lang w:eastAsia="hu-HU"/>
        </w:rPr>
      </w:pPr>
      <w:r w:rsidRPr="00653006">
        <w:rPr>
          <w:rFonts w:ascii="Georgia" w:eastAsia="Times New Roman" w:hAnsi="Georgia" w:cs="Times New Roman"/>
          <w:b/>
          <w:bCs/>
          <w:caps/>
          <w:color w:val="35293A"/>
          <w:spacing w:val="14"/>
          <w:sz w:val="38"/>
          <w:szCs w:val="38"/>
          <w:lang w:eastAsia="hu-HU"/>
        </w:rPr>
        <w:t>SALAMON-TEMPLOM, SZAMOSÚJVÁR</w:t>
      </w:r>
    </w:p>
    <w:p w:rsidR="00653006" w:rsidRPr="00653006" w:rsidRDefault="00653006" w:rsidP="00653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</w:pP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</w:pPr>
      <w:bookmarkStart w:id="0" w:name="adat"/>
      <w:bookmarkEnd w:id="0"/>
      <w:r w:rsidRPr="00653006"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  <w:t>A műemlék adatai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Cím: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Cloşca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utca, 7. szám</w:t>
      </w: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br/>
        <w:t>Kód: CJ-II-m-B-07644</w:t>
      </w: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br/>
        <w:t>Datálás: 1723–1724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</w:pPr>
      <w:bookmarkStart w:id="1" w:name="tortenet"/>
      <w:bookmarkEnd w:id="1"/>
      <w:r w:rsidRPr="00653006"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  <w:br/>
        <w:t>Történeti adatok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A Salamon-templom Szamosújvár első kőtemploma és egyben Erdély legrégibb örmény-katolikus temploma, 1723 és 1724 között épült Gyümölcsoltó Boldogasszony tiszteletére. 1729-ben kelt latin és örmény nyelvű alapító okirata szerint Salamon, Simai Tódor fia, Szamosújvár főbírája saját és felesége Szirma, fivére Bogdán (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Ászvátur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) és annak neje,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Ulcháthun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költségén kőtemplomot építtetett három oltárral. A főoltár a Boldogasszony, a déli mellékoltár Szentháromság, az északi Világosító Szent Gergely tiszteletére volt felszentelve. A templom mellé „harangok számára alkalmas tornyot" csináltatott, „mely érinti a templomot", az egészet kőfallal vette körül. A falba beépítve kápolnát alakítottak ki a Szent Kereszt tiszteletére, a cinteremben temetkeztek. Simai Salamon az alapítólevélben azt is meghatározta, hogy templomra hagyományozott 2500 forint kamatjából a hét mely napján melyik oltárnál mondjanak misét az ő és a családtagjai lelki üdvéért. Természetes utódja nem lévén, a templomot testvérére Simai Gergely tanácsosra és annak leszármazottjaira hagyta.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>
        <w:rPr>
          <w:rFonts w:ascii="Georgia" w:eastAsia="Times New Roman" w:hAnsi="Georgia" w:cs="Times New Roman"/>
          <w:noProof/>
          <w:color w:val="313131"/>
          <w:sz w:val="20"/>
          <w:szCs w:val="20"/>
          <w:lang w:eastAsia="hu-HU"/>
        </w:rPr>
        <w:drawing>
          <wp:inline distT="0" distB="0" distL="0" distR="0">
            <wp:extent cx="5624195" cy="3735070"/>
            <wp:effectExtent l="19050" t="0" r="0" b="0"/>
            <wp:docPr id="2" name="Kép 2" descr="http://lexikon.adatbank.transindex.ro/admin/kep/400_1337662497_01_IMG_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400_1337662497_01_IMG_54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proofErr w:type="gram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Az alapítás tényét több felirat is megörökíti, egyrészt a torony nyugati homlokzatán elhelyezett kőtábla latin és örmény nyelvű felirata - Salamon et /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Bogdany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Tho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/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dor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fratreS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geR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/ mani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uXORES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eOrU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[M ]/ Szirma et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IulIanA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/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erexerunt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propriIS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/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sumptibus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hoc d[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edi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] /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catA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anunciataE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Mariae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V[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irginis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] b[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eatae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]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Templu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[M] ANNO 1724 (Salamon és Bogdán Tódor ikertestvérek feleségeikkel Szirmával és Júliával saját költségükön emeltették ezt a templomot Gyümölcsoltó Boldogasszony tiszteletére 1724-ben) - másrészt a szentélyben levő freskó alatti 1901-es örmény felirat (magyar fordításban: „Ezt a templomot</w:t>
      </w:r>
      <w:proofErr w:type="gram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</w:t>
      </w:r>
      <w:proofErr w:type="gram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építtette</w:t>
      </w:r>
      <w:proofErr w:type="gram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Simai Salamon és Bogdán 1723-ban. Újíttatott 1751, 1797, 1841, 1899.) A torony és a hajó találkozásának vizsgálata arra utal, hogy a két épületrész nem egyszerre épült. Valószínű, hogy néhány évvel a hajó és a szentély felépítése után került sor a torony csatlakoztatására, mely az alapítólevél tanúsága szerint 1729-re elkészült. A toronyemelés alkalmával építették be a főbejárathoz a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Bálványosvárról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vásárolt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későgótikus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portálét. A hajó és a sekrestye fogsoros szemöldökű késő </w:t>
      </w: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lastRenderedPageBreak/>
        <w:t>reneszánsz ajtókereteit és a főhomlokzat faragott emléktábláját valószínűleg Sipos Dávid köréhez tartozó mesterek készítették.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Az 1729-ben alakult Szent Anna Társulat, mely a vallásos örmény asszonyokat fogta össze, 1732-ben kápolnát építtetett a templom jobb oldalán. A kápolnának kezdetben külön bejárata volt, később a templomból vágott bejáratot használták. Ebbe Szent Anna és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Joáchim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tiszteletére oltárt készíttettek.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Az 1751-es, az 1797-es és az 1841-es javítások után 1898-1899-ben Bárány Lukács esperes-kanonok idejében a templom gyökeres restauráláson esett át. Ez alakalommal a Szent Anna kápolnával szemben Világosító Szent Gergelynek szentelt kápolnát építtettek. A régi oltárok helyébe újakat készíttettek, a templomot kifestették, boltozatát Szirmai Antal falképekkel díszítette. Az épület legújabb felújításaira 1960-ban és 1992-ben került sor, ezek emlékét a templombelsőben elhelyezett márványtáblák örökítik meg.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</w:pPr>
      <w:bookmarkStart w:id="2" w:name="leiras"/>
      <w:bookmarkEnd w:id="2"/>
      <w:r w:rsidRPr="00653006">
        <w:rPr>
          <w:rFonts w:ascii="Georgia" w:eastAsia="Times New Roman" w:hAnsi="Georgia" w:cs="Times New Roman"/>
          <w:b/>
          <w:bCs/>
          <w:color w:val="19213B"/>
          <w:sz w:val="27"/>
          <w:szCs w:val="27"/>
          <w:lang w:eastAsia="hu-HU"/>
        </w:rPr>
        <w:br/>
        <w:t>A műemlék leírása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 Salamon-templom a város főterétől keletre levő kisméretű tér keleti részén helyezkedik el. A viszonylag egyszerű megjelenésű épületen sajátos stíluskeveredés figyelhető meg. A néhány évtizede Erdélybe települt örmények első templomuk felépítéséhez a környék késő gótikus templomait vették mintául. Ennek megfelelően a </w:t>
      </w:r>
      <w:proofErr w:type="gram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templom torony</w:t>
      </w:r>
      <w:proofErr w:type="gram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, hajó és a nyolcszög három oldalával záródó szentély együtteséből áll. A szentély északi oldalához kisméretű sekrestyét építettek. A hajó északi és déli oldalához csatlakozó mellékkápolnák félköríves záródásúak.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>
        <w:rPr>
          <w:rFonts w:ascii="Georgia" w:eastAsia="Times New Roman" w:hAnsi="Georgia" w:cs="Times New Roman"/>
          <w:noProof/>
          <w:color w:val="313131"/>
          <w:sz w:val="20"/>
          <w:szCs w:val="20"/>
          <w:lang w:eastAsia="hu-H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3" name="Kép 2" descr="http://lexikon.adatbank.transindex.ro/admin/kep/400_1337662497_02_P910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400_1337662497_02_P910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 négyszögű torony sarkait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lizénák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hangsúlyozzák, vízszintesen három övpárkány tagolja. Felületét a középső, hangsúlyosabb övpárkány alatt két félköríves ablak, fölötte pedig egy nagyobb méretű, szintén félköríves ablak töri át. A két alsó ablak között háromkaréjos lezárású fülkében a már említett építési emléktábla látható, melynek keretét lapos faragású indázó akantuszlevelek képezik. A torony északi, déli és keleti oldalán csak a legfelső szinten található nyílás.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Koronázópárkánya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minden oldalon egy félkörívvel emelkedik ki, ez alatt kisméretű óralapok láthatóak. Az alul homorú toronysisak ívelt gúlaformában végződik. A torony oldalához kétoldalt egy-egy félköríves ablakkal áttört falszakasz csatlakozik. A környék hagyományaihoz való tudatos igazodás legnyilvánvalóbb bizonyítéka a torony bejárataként beépített késő gótikus szemöldökgyámos portálé. A kapu szemöldökét képező egymást metsző pálcatagok arra utalnak, hogy a XV. század végén, a XVI. század elején készülhetett. Ennek két oldalán ívelt barokk talapzaton Szent Szilveszter pápát és Világosító Szent Gergelyt ábrázoló érett barokk szobrok láthatóak. A bejárat déli oldalán elhelyezkedő, püspöki ornátusban megjelenített Világosító Szent Gergely-szobor kezei és lábának egy része hiányzik. Hasonlóképpen Szilveszter pápa mindkét kézfeje letörött. A szobrok díszes egyházi öltözéke finom, részletező faragással készült. Valószínűnek tűnik, hogy e két minőségi szobor készítője a XVIII. század közepétől a nagytemplom építése köré szerveződött munkatelep valamely tagja volt.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 mellékkápolnák falát egy-egy félköríves ablak töri át, ezek mellett egy-egy örmény feliratú kőtábla, az északi kápolnán pedig egy befalazott, zárókővel díszített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későreneszánsz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keretű,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egyeneszáródású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ajtó tűnik fel. A hajó falait kisméretű, a falak háromnegyedéig felnyúló támpillérek támasztják meg, déli oldalán két, az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északin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pedig három félköríves ablak látható.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 késő-gótikus főbejáraton belépve a toronyaljba érkezünk, innen a templomba egy késő reneszánsz, fogsoros szemöldökű ajtón léphetünk be. A szemöldök középmezejében levő reneszánsz címerpajzson az IHS monogram és az 1723-as évszám mellett a </w:t>
      </w:r>
      <w:r w:rsidRPr="00653006">
        <w:rPr>
          <w:rFonts w:ascii="Sylfaen" w:eastAsia="Times New Roman" w:hAnsi="Sylfaen" w:cs="Sylfaen"/>
          <w:color w:val="313131"/>
          <w:sz w:val="20"/>
          <w:szCs w:val="20"/>
          <w:lang w:eastAsia="hu-HU"/>
        </w:rPr>
        <w:t>Ս</w:t>
      </w:r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</w:t>
      </w:r>
      <w:r w:rsidRPr="00653006">
        <w:rPr>
          <w:rFonts w:ascii="Sylfaen" w:eastAsia="Times New Roman" w:hAnsi="Sylfaen" w:cs="Sylfaen"/>
          <w:color w:val="313131"/>
          <w:sz w:val="20"/>
          <w:szCs w:val="20"/>
          <w:lang w:eastAsia="hu-HU"/>
        </w:rPr>
        <w:t>Ռ</w:t>
      </w:r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</w:t>
      </w:r>
      <w:r w:rsidRPr="00653006">
        <w:rPr>
          <w:rFonts w:ascii="Sylfaen" w:eastAsia="Times New Roman" w:hAnsi="Sylfaen" w:cs="Sylfaen"/>
          <w:color w:val="313131"/>
          <w:sz w:val="20"/>
          <w:szCs w:val="20"/>
          <w:lang w:eastAsia="hu-HU"/>
        </w:rPr>
        <w:t>Մ</w:t>
      </w:r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</w:t>
      </w:r>
      <w:r w:rsidRPr="00653006">
        <w:rPr>
          <w:rFonts w:ascii="Sylfaen" w:eastAsia="Times New Roman" w:hAnsi="Sylfaen" w:cs="Sylfaen"/>
          <w:color w:val="313131"/>
          <w:sz w:val="20"/>
          <w:szCs w:val="20"/>
          <w:lang w:eastAsia="hu-HU"/>
        </w:rPr>
        <w:t>Ն</w:t>
      </w:r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(</w:t>
      </w:r>
      <w:proofErr w:type="spellStart"/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>Sz</w:t>
      </w:r>
      <w:proofErr w:type="spellEnd"/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</w:t>
      </w:r>
      <w:proofErr w:type="spellStart"/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>Gh</w:t>
      </w:r>
      <w:proofErr w:type="spellEnd"/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M N) örmény betűk tűnnek fel, melyek a Salamon (</w:t>
      </w:r>
      <w:r w:rsidRPr="00653006">
        <w:rPr>
          <w:rFonts w:ascii="Sylfaen" w:eastAsia="Times New Roman" w:hAnsi="Sylfaen" w:cs="Sylfaen"/>
          <w:color w:val="313131"/>
          <w:sz w:val="20"/>
          <w:szCs w:val="20"/>
          <w:lang w:eastAsia="hu-HU"/>
        </w:rPr>
        <w:t>ՍՈՌՈՄՈՆ</w:t>
      </w:r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 xml:space="preserve"> - </w:t>
      </w:r>
      <w:proofErr w:type="spellStart"/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>Szoghomon</w:t>
      </w:r>
      <w:proofErr w:type="spellEnd"/>
      <w:r w:rsidRPr="00653006">
        <w:rPr>
          <w:rFonts w:ascii="Georgia" w:eastAsia="Times New Roman" w:hAnsi="Georgia" w:cs="Georgia"/>
          <w:color w:val="313131"/>
          <w:sz w:val="20"/>
          <w:szCs w:val="20"/>
          <w:lang w:eastAsia="hu-HU"/>
        </w:rPr>
        <w:t>) név mássalhangzói, így a templom alapítójára utalnak.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 hajót, a szentélyt és a mellékkápolnákat falpillérekre támaszkodó fiókos dongaboltozat fedi. A két négyszögű pilléren nyugvó nyugati karzat falazott mellvédjét övpárkány választja el a háromnyílású </w:t>
      </w: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lastRenderedPageBreak/>
        <w:t xml:space="preserve">árkádtól. Az övpárkány alatti részt felül kiszélesedő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lizénák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, a </w:t>
      </w:r>
      <w:proofErr w:type="gram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karzatmellvédet törpepilléreket</w:t>
      </w:r>
      <w:proofErr w:type="gram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imitáló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lizénák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díszítik. A hajót és a szentélyt félköríves diadalív választja el egymástól. A szentély északi falán, a főbejárathoz hasonló fogsoros szemöldökű sekrestyeajtó fölött az alapítókat megörökítő falkép jelenik meg, melyet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Gábrus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Zakariás festett 1842-ben. A festő a falképen feltűnő négy alakot imádkozó helyzetben, térdelve ábrázolta. A baloldali idősebb, kopaszodó férfi vörös ruhában, a jobb oldali hosszú fekete hajú, fiatalabb férfi kék öltözékben látható. Mindketten jellegzetes erdélyi nemesi öltözékben jelennek meg, és hosszú szárú vörös csizmát viselnek. Mögöttük fejkendős feleségeik tűnnek fel. A két férfi között a háttérben az általuk alapított Salamon templom jelenik meg. A képen látható torony elegáns barokk sisakmegoldása eltér a maitól, mely arra utalhat, hogy a templomnak eredetileg ahhoz hasonló zsindellyel fedett sisakja volt. A falkép felső regiszterében a felhők közül a vörös ruhás, kék palástú Krisztus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félalakja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tűnik elő.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A templomnak jelenleg három oltára van, melyek márványozott felületű felépítményei nagyrészt megegyeznek egymással. A sarkain pillérköteggel hangsúlyozott klasszicizáló felépítményt tört félköríves oromzat koronázza, a tabernákulumot háromszögoromzat zárja le. A mellékoltárokon a tabernákulum helyét barokkos díszítés tölti ki. A főoltáron az Angyali üdvözlet, az északi mellékkápolna oltárán a Mária tanítása jelenet, a déli kápolna oltárán pedig Szent Máté evangélista jelenik meg. Ez utóbbit Szirmai Antal szignálta, azonban valószínű, hogy a többi oltárképet is ő festette a XIX. század legvégén. A hajóban az északi mellékkápolna bejárata mellett, egy falpillérhez csatlakozva egy XVIII. század közepe táján készült festett, aranyozott faszószék látható. A sokszögű kialakítású hangvető </w:t>
      </w:r>
      <w:proofErr w:type="gram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párkányán</w:t>
      </w:r>
      <w:proofErr w:type="gram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örmény nyelven írt zsoltárrészlet olvasható,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volutákból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formált felső részét kereszt koronázza. A szószékkosár szintén sokszögű kialakítású, csavart törzsű, korinthoszi fejezetes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törpepilaszterekkel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elválasztott félköríves mezőiben az attribútumaikkal ábrázolt négy evangélista látható (jobbról balra haladva Máté, János, Márk, Lukács).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 </w:t>
      </w:r>
    </w:p>
    <w:p w:rsidR="00653006" w:rsidRPr="00653006" w:rsidRDefault="00653006" w:rsidP="00653006">
      <w:pPr>
        <w:spacing w:after="0" w:line="240" w:lineRule="auto"/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</w:pPr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1908-ban Bárány Lukács esperes-kanonok két füles keretű márványtáblát helyeztetett el a templomban, mely az itt eltemetett híres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szamosújváriaknak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állít emléket: egyrészt az alapító Simai Salamonnak, Simai Bogdánnak és feleségeiknek, másrészt </w:t>
      </w:r>
      <w:proofErr w:type="spellStart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>Theodorovich</w:t>
      </w:r>
      <w:proofErr w:type="spellEnd"/>
      <w:r w:rsidRPr="00653006">
        <w:rPr>
          <w:rFonts w:ascii="Georgia" w:eastAsia="Times New Roman" w:hAnsi="Georgia" w:cs="Times New Roman"/>
          <w:color w:val="313131"/>
          <w:sz w:val="20"/>
          <w:szCs w:val="20"/>
          <w:lang w:eastAsia="hu-HU"/>
        </w:rPr>
        <w:t xml:space="preserve"> Mihály apostoli helytartónak.</w:t>
      </w:r>
    </w:p>
    <w:p w:rsidR="00EA372C" w:rsidRDefault="00EA372C"/>
    <w:sectPr w:rsidR="00EA37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3006"/>
    <w:rsid w:val="0007660D"/>
    <w:rsid w:val="00086D1E"/>
    <w:rsid w:val="000D78A5"/>
    <w:rsid w:val="0065300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300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5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844">
          <w:marLeft w:val="0"/>
          <w:marRight w:val="0"/>
          <w:marTop w:val="9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28">
          <w:marLeft w:val="0"/>
          <w:marRight w:val="0"/>
          <w:marTop w:val="0"/>
          <w:marBottom w:val="0"/>
          <w:divBdr>
            <w:top w:val="dashed" w:sz="12" w:space="18" w:color="BEBDB0"/>
            <w:left w:val="none" w:sz="0" w:space="0" w:color="auto"/>
            <w:bottom w:val="dashed" w:sz="12" w:space="18" w:color="BEBDB0"/>
            <w:right w:val="none" w:sz="0" w:space="0" w:color="auto"/>
          </w:divBdr>
        </w:div>
        <w:div w:id="83283832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7682</Characters>
  <Application>Microsoft Office Word</Application>
  <DocSecurity>0</DocSecurity>
  <Lines>64</Lines>
  <Paragraphs>17</Paragraphs>
  <ScaleCrop>false</ScaleCrop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2017-12-13T11:33:00Z</dcterms:created>
  <dcterms:modified xsi:type="dcterms:W3CDTF">2017-12-13T11:34:00Z</dcterms:modified>
</cp:coreProperties>
</file>